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中国共产主义青年团霸州市委员会20</w:t>
      </w:r>
      <w:r>
        <w:rPr>
          <w:rFonts w:ascii="方正小标宋简体" w:hAnsi="Times New Roman" w:eastAsia="方正小标宋简体" w:cs="Times New Roman"/>
          <w:sz w:val="44"/>
          <w:szCs w:val="44"/>
        </w:rPr>
        <w:t>20</w:t>
      </w:r>
      <w:r>
        <w:rPr>
          <w:rFonts w:hint="eastAsia" w:ascii="方正小标宋简体" w:hAnsi="Times New Roman" w:eastAsia="方正小标宋简体" w:cs="Times New Roman"/>
          <w:sz w:val="44"/>
          <w:szCs w:val="44"/>
        </w:rPr>
        <w:t>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 w:hAnsi="仿宋" w:eastAsia="仿宋"/>
          <w:sz w:val="32"/>
          <w:szCs w:val="32"/>
        </w:rPr>
        <w:t>中国共产主义青年团霸州市委员会</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（一）行使中国共产主义青年团霸州市委员会赋予的领导全市共青团工作和少先队工作的职权，对全市性青年社团组织进行指导和管理。</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（二）参与制定本市的青少年事业发展规划和青少年工作方针、政策，对青少年活动阵地和青少年服务机构的建设等事务进行管理。</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（三）参与本市有关青少年事务的法律、地方性法规的制定和实施，协助市委和市政府处理、协调与青少年利益相关的事务。</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（四）调查青年思想动态和青年工作状况，研究青少年运动、青少年工作理论和思想教育问题，提出相应对策，开展各种活动。</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（五）协助市政府教育部门做好大、中、小学生的教育管理工作，维护学校稳定和社会安定团结。</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（六）在国家经济建设中，组织和带领青年发挥生力军和突击队作用。</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（七）会同有关部门对全市青少年外事工作实行归口管理和提供服务，参与制定、执行全市的青少年外事政策并落实有关工作。</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（八）参与制定有关本市青年统战工作的政策，做好青年统战对象的团结教育工作，维护和促进祖国统一和民族团结。</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（九）制定青年志愿者行动发展规划，做好青年志愿者行动的组织、指导工作。</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（十）会同有关部门积极维护青少年合法权益。</w:t>
      </w:r>
    </w:p>
    <w:p>
      <w:pPr>
        <w:spacing w:line="580" w:lineRule="atLeast"/>
        <w:ind w:firstLine="640" w:firstLineChars="200"/>
        <w:rPr>
          <w:rFonts w:hint="eastAsia" w:ascii="楷体_GB2312" w:hAnsi="Times New Roman" w:eastAsia="楷体_GB2312" w:cs="Times New Roman"/>
          <w:b/>
          <w:sz w:val="32"/>
          <w:szCs w:val="32"/>
        </w:rPr>
      </w:pPr>
      <w:r>
        <w:rPr>
          <w:rFonts w:hint="eastAsia" w:ascii="仿宋" w:hAnsi="仿宋" w:eastAsia="仿宋" w:cs="仿宋"/>
          <w:sz w:val="32"/>
          <w:szCs w:val="32"/>
        </w:rPr>
        <w:t>（十一）承担市委、市政府和上级团的领导机关搅拌的有关事项。</w:t>
      </w:r>
    </w:p>
    <w:p>
      <w:pPr>
        <w:autoSpaceDE w:val="0"/>
        <w:autoSpaceDN w:val="0"/>
        <w:adjustRightInd w:val="0"/>
        <w:ind w:firstLine="643" w:firstLineChars="200"/>
        <w:jc w:val="left"/>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0" w:hRule="atLeast"/>
          <w:jc w:val="center"/>
        </w:trPr>
        <w:tc>
          <w:tcPr>
            <w:tcW w:w="3711" w:type="dxa"/>
            <w:shd w:val="clear" w:color="auto" w:fill="auto"/>
            <w:vAlign w:val="center"/>
          </w:tcPr>
          <w:p>
            <w:pPr>
              <w:jc w:val="center"/>
              <w:rPr>
                <w:rFonts w:hint="eastAsia" w:ascii="黑体" w:hAnsi="黑体" w:eastAsia="黑体"/>
                <w:sz w:val="32"/>
                <w:szCs w:val="32"/>
              </w:rPr>
            </w:pPr>
            <w:r>
              <w:rPr>
                <w:rFonts w:hint="eastAsia" w:ascii="黑体" w:hAnsi="黑体" w:eastAsia="黑体"/>
                <w:sz w:val="32"/>
                <w:szCs w:val="32"/>
              </w:rPr>
              <w:t>中国共产主义青年团</w:t>
            </w:r>
          </w:p>
          <w:p>
            <w:pPr>
              <w:jc w:val="center"/>
              <w:rPr>
                <w:rFonts w:ascii="Times New Roman" w:hAnsi="Times New Roman" w:eastAsia="方正书宋_GBK" w:cs="Times New Roman"/>
                <w:kern w:val="2"/>
                <w:sz w:val="21"/>
                <w:szCs w:val="24"/>
                <w:lang w:val="en-US" w:eastAsia="zh-CN" w:bidi="ar-SA"/>
              </w:rPr>
            </w:pPr>
            <w:r>
              <w:rPr>
                <w:rFonts w:hint="eastAsia" w:ascii="黑体" w:hAnsi="黑体" w:eastAsia="黑体"/>
                <w:sz w:val="32"/>
                <w:szCs w:val="32"/>
              </w:rPr>
              <w:t>霸州市委员会</w:t>
            </w:r>
          </w:p>
        </w:tc>
        <w:tc>
          <w:tcPr>
            <w:tcW w:w="1866" w:type="dxa"/>
            <w:shd w:val="clear" w:color="auto" w:fill="auto"/>
            <w:vAlign w:val="center"/>
          </w:tcPr>
          <w:p>
            <w:pPr>
              <w:jc w:val="center"/>
              <w:rPr>
                <w:rFonts w:ascii="Times New Roman" w:hAnsi="Times New Roman" w:eastAsia="方正书宋_GBK" w:cs="Times New Roman"/>
                <w:kern w:val="2"/>
                <w:sz w:val="21"/>
                <w:szCs w:val="24"/>
                <w:lang w:val="en-US" w:eastAsia="zh-CN" w:bidi="ar-SA"/>
              </w:rPr>
            </w:pPr>
            <w:r>
              <w:rPr>
                <w:rFonts w:hint="eastAsia" w:ascii="黑体" w:hAnsi="黑体" w:eastAsia="黑体"/>
                <w:sz w:val="32"/>
                <w:szCs w:val="32"/>
              </w:rPr>
              <w:t>行政</w:t>
            </w:r>
          </w:p>
        </w:tc>
        <w:tc>
          <w:tcPr>
            <w:tcW w:w="1536" w:type="dxa"/>
            <w:shd w:val="clear" w:color="auto" w:fill="auto"/>
            <w:vAlign w:val="center"/>
          </w:tcPr>
          <w:p>
            <w:pPr>
              <w:jc w:val="center"/>
              <w:rPr>
                <w:rFonts w:ascii="Times New Roman" w:hAnsi="Times New Roman" w:eastAsia="方正书宋_GBK" w:cs="Times New Roman"/>
                <w:kern w:val="2"/>
                <w:sz w:val="21"/>
                <w:szCs w:val="24"/>
                <w:lang w:val="en-US" w:eastAsia="zh-CN" w:bidi="ar-SA"/>
              </w:rPr>
            </w:pPr>
            <w:r>
              <w:rPr>
                <w:rFonts w:hint="eastAsia" w:ascii="黑体" w:hAnsi="黑体" w:eastAsia="黑体"/>
                <w:sz w:val="32"/>
                <w:szCs w:val="32"/>
              </w:rPr>
              <w:t>正科级</w:t>
            </w:r>
          </w:p>
        </w:tc>
        <w:tc>
          <w:tcPr>
            <w:tcW w:w="2642" w:type="dxa"/>
            <w:shd w:val="clear" w:color="auto" w:fill="auto"/>
            <w:vAlign w:val="center"/>
          </w:tcPr>
          <w:p>
            <w:pPr>
              <w:jc w:val="center"/>
              <w:rPr>
                <w:rFonts w:ascii="Times New Roman" w:hAnsi="Times New Roman" w:eastAsia="方正书宋_GBK" w:cs="Times New Roman"/>
                <w:kern w:val="2"/>
                <w:sz w:val="21"/>
                <w:szCs w:val="24"/>
                <w:lang w:val="en-US" w:eastAsia="zh-CN" w:bidi="ar-SA"/>
              </w:rPr>
            </w:pPr>
            <w:r>
              <w:rPr>
                <w:rFonts w:hint="eastAsia" w:ascii="黑体" w:hAnsi="黑体" w:eastAsia="黑体"/>
                <w:sz w:val="32"/>
                <w:szCs w:val="32"/>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149.72</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149.72</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w:t>
      </w:r>
      <w:r>
        <w:rPr>
          <w:rFonts w:hint="eastAsia" w:ascii="仿宋" w:hAnsi="仿宋" w:eastAsia="仿宋" w:cs="仿宋"/>
          <w:sz w:val="32"/>
          <w:szCs w:val="32"/>
        </w:rPr>
        <w:t>中国共产主义青年团霸州市委员会</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年度部门预算中支出预算的总体情况。20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年本部门支出预算</w:t>
      </w:r>
      <w:r>
        <w:rPr>
          <w:rFonts w:hint="eastAsia" w:ascii="仿宋_GB2312" w:hAnsi="Times New Roman" w:eastAsia="仿宋_GB2312" w:cs="Times New Roman"/>
          <w:sz w:val="32"/>
          <w:szCs w:val="32"/>
          <w:lang w:val="en-US" w:eastAsia="zh-CN"/>
        </w:rPr>
        <w:t>149.72</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127.72</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110.47</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17.25</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eastAsia="zh-CN"/>
        </w:rPr>
        <w:t>共青团专项工作经费、</w:t>
      </w:r>
      <w:r>
        <w:rPr>
          <w:rFonts w:hint="eastAsia" w:ascii="仿宋_GB2312" w:hAnsi="Times New Roman" w:eastAsia="仿宋_GB2312" w:cs="Times New Roman"/>
          <w:sz w:val="32"/>
          <w:szCs w:val="32"/>
          <w:lang w:val="en-US" w:eastAsia="zh-CN"/>
        </w:rPr>
        <w:t>青年中心建设运行经费</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青年志愿者服务活动经费、预防青少年违法犯罪专项经费</w:t>
      </w:r>
      <w:r>
        <w:rPr>
          <w:rFonts w:hint="eastAsia" w:ascii="仿宋_GB2312" w:hAnsi="Times New Roman" w:eastAsia="仿宋_GB2312" w:cs="Times New Roman"/>
          <w:sz w:val="32"/>
          <w:szCs w:val="32"/>
        </w:rPr>
        <w:t>；上缴上级支出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ascii="仿宋_GB2312" w:hAnsi="Times New Roman" w:eastAsia="仿宋_GB2312" w:cs="Times New Roman"/>
          <w:color w:val="000000" w:themeColor="text1"/>
          <w:sz w:val="32"/>
          <w:szCs w:val="32"/>
          <w:highlight w:val="none"/>
        </w:rPr>
        <w:t>0</w:t>
      </w:r>
      <w:r>
        <w:rPr>
          <w:rFonts w:hint="eastAsia" w:ascii="仿宋_GB2312" w:hAnsi="Times New Roman" w:eastAsia="仿宋_GB2312" w:cs="Times New Roman"/>
          <w:color w:val="000000" w:themeColor="text1"/>
          <w:sz w:val="32"/>
          <w:szCs w:val="32"/>
          <w:highlight w:val="none"/>
        </w:rPr>
        <w:t>年预算收支安排</w:t>
      </w:r>
      <w:r>
        <w:rPr>
          <w:rFonts w:hint="eastAsia" w:ascii="仿宋_GB2312" w:hAnsi="Times New Roman" w:eastAsia="仿宋_GB2312" w:cs="Times New Roman"/>
          <w:color w:val="000000" w:themeColor="text1"/>
          <w:sz w:val="32"/>
          <w:szCs w:val="32"/>
          <w:highlight w:val="none"/>
          <w:lang w:val="en-US" w:eastAsia="zh-CN"/>
        </w:rPr>
        <w:t>149.72</w:t>
      </w:r>
      <w:r>
        <w:rPr>
          <w:rFonts w:hint="eastAsia" w:ascii="仿宋_GB2312" w:hAnsi="Times New Roman" w:eastAsia="仿宋_GB2312" w:cs="Times New Roman"/>
          <w:color w:val="000000" w:themeColor="text1"/>
          <w:sz w:val="32"/>
          <w:szCs w:val="32"/>
          <w:highlight w:val="none"/>
        </w:rPr>
        <w:t>万元，较20</w:t>
      </w:r>
      <w:r>
        <w:rPr>
          <w:rFonts w:ascii="仿宋_GB2312" w:hAnsi="Times New Roman" w:eastAsia="仿宋_GB2312" w:cs="Times New Roman"/>
          <w:color w:val="000000" w:themeColor="text1"/>
          <w:sz w:val="32"/>
          <w:szCs w:val="32"/>
          <w:highlight w:val="none"/>
        </w:rPr>
        <w:t>19</w:t>
      </w:r>
      <w:r>
        <w:rPr>
          <w:rFonts w:hint="eastAsia" w:ascii="仿宋_GB2312" w:hAnsi="Times New Roman" w:eastAsia="仿宋_GB2312" w:cs="Times New Roman"/>
          <w:color w:val="000000" w:themeColor="text1"/>
          <w:sz w:val="32"/>
          <w:szCs w:val="32"/>
          <w:highlight w:val="none"/>
        </w:rPr>
        <w:t>年预算减少</w:t>
      </w:r>
      <w:r>
        <w:rPr>
          <w:rFonts w:hint="eastAsia" w:ascii="仿宋_GB2312" w:hAnsi="Times New Roman" w:eastAsia="仿宋_GB2312" w:cs="Times New Roman"/>
          <w:color w:val="000000" w:themeColor="text1"/>
          <w:sz w:val="32"/>
          <w:szCs w:val="32"/>
          <w:highlight w:val="none"/>
          <w:lang w:val="en-US" w:eastAsia="zh-CN"/>
        </w:rPr>
        <w:t>8.73</w:t>
      </w:r>
      <w:r>
        <w:rPr>
          <w:rFonts w:hint="eastAsia" w:ascii="仿宋_GB2312" w:hAnsi="Times New Roman" w:eastAsia="仿宋_GB2312" w:cs="Times New Roman"/>
          <w:color w:val="000000" w:themeColor="text1"/>
          <w:sz w:val="32"/>
          <w:szCs w:val="32"/>
          <w:highlight w:val="none"/>
        </w:rPr>
        <w:t>万元，其中：基本支出减少</w:t>
      </w:r>
      <w:r>
        <w:rPr>
          <w:rFonts w:hint="eastAsia" w:ascii="仿宋_GB2312" w:hAnsi="Times New Roman" w:eastAsia="仿宋_GB2312" w:cs="Times New Roman"/>
          <w:color w:val="000000" w:themeColor="text1"/>
          <w:sz w:val="32"/>
          <w:szCs w:val="32"/>
          <w:highlight w:val="none"/>
          <w:lang w:val="en-US" w:eastAsia="zh-CN"/>
        </w:rPr>
        <w:t>3.43</w:t>
      </w:r>
      <w:r>
        <w:rPr>
          <w:rFonts w:hint="eastAsia" w:ascii="仿宋_GB2312" w:hAnsi="Times New Roman" w:eastAsia="仿宋_GB2312" w:cs="Times New Roman"/>
          <w:color w:val="000000" w:themeColor="text1"/>
          <w:sz w:val="32"/>
          <w:szCs w:val="32"/>
          <w:highlight w:val="none"/>
        </w:rPr>
        <w:t>万元，主要为减少</w:t>
      </w:r>
      <w:r>
        <w:rPr>
          <w:rFonts w:hint="eastAsia" w:ascii="仿宋_GB2312" w:hAnsi="Times New Roman" w:eastAsia="仿宋_GB2312" w:cs="Times New Roman"/>
          <w:color w:val="000000" w:themeColor="text1"/>
          <w:sz w:val="32"/>
          <w:szCs w:val="32"/>
          <w:highlight w:val="none"/>
          <w:lang w:eastAsia="zh-CN"/>
        </w:rPr>
        <w:t>工资福利</w:t>
      </w:r>
      <w:r>
        <w:rPr>
          <w:rFonts w:hint="eastAsia" w:ascii="仿宋_GB2312" w:hAnsi="Times New Roman" w:eastAsia="仿宋_GB2312" w:cs="Times New Roman"/>
          <w:color w:val="000000" w:themeColor="text1"/>
          <w:sz w:val="32"/>
          <w:szCs w:val="32"/>
          <w:highlight w:val="none"/>
        </w:rPr>
        <w:t>支出；项目支出减少</w:t>
      </w:r>
      <w:r>
        <w:rPr>
          <w:rFonts w:hint="eastAsia" w:ascii="仿宋_GB2312" w:hAnsi="Times New Roman" w:eastAsia="仿宋_GB2312" w:cs="Times New Roman"/>
          <w:color w:val="000000" w:themeColor="text1"/>
          <w:sz w:val="32"/>
          <w:szCs w:val="32"/>
          <w:highlight w:val="none"/>
          <w:lang w:val="en-US" w:eastAsia="zh-CN"/>
        </w:rPr>
        <w:t>5.3</w:t>
      </w:r>
      <w:r>
        <w:rPr>
          <w:rFonts w:hint="eastAsia" w:ascii="仿宋_GB2312" w:hAnsi="Times New Roman" w:eastAsia="仿宋_GB2312" w:cs="Times New Roman"/>
          <w:color w:val="000000" w:themeColor="text1"/>
          <w:sz w:val="32"/>
          <w:szCs w:val="32"/>
          <w:highlight w:val="none"/>
        </w:rPr>
        <w:t>万元，主要为减少</w:t>
      </w:r>
      <w:r>
        <w:rPr>
          <w:rFonts w:hint="eastAsia" w:ascii="仿宋_GB2312" w:hAnsi="Times New Roman" w:eastAsia="仿宋_GB2312" w:cs="Times New Roman"/>
          <w:color w:val="000000" w:themeColor="text1"/>
          <w:sz w:val="32"/>
          <w:szCs w:val="32"/>
          <w:highlight w:val="none"/>
          <w:lang w:eastAsia="zh-CN"/>
        </w:rPr>
        <w:t>青年中心建设</w:t>
      </w:r>
      <w:r>
        <w:rPr>
          <w:rFonts w:hint="eastAsia" w:ascii="仿宋_GB2312" w:hAnsi="Times New Roman" w:eastAsia="仿宋_GB2312" w:cs="Times New Roman"/>
          <w:color w:val="000000" w:themeColor="text1"/>
          <w:sz w:val="32"/>
          <w:szCs w:val="32"/>
          <w:lang w:eastAsia="zh-CN"/>
        </w:rPr>
        <w:t>运行经费</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17.25</w:t>
      </w:r>
      <w:r>
        <w:rPr>
          <w:rFonts w:hint="eastAsia" w:ascii="仿宋_GB2312" w:hAnsi="Times New Roman" w:eastAsia="仿宋_GB2312" w:cs="Times New Roman"/>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2.63</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0.13</w:t>
      </w:r>
      <w:r>
        <w:rPr>
          <w:rFonts w:hint="eastAsia" w:ascii="仿宋_GB2312" w:hAnsi="Times New Roman" w:eastAsia="仿宋_GB2312" w:cs="Times New Roman"/>
          <w:sz w:val="32"/>
          <w:szCs w:val="32"/>
        </w:rPr>
        <w:t>万元，与2019年持平，无增减变化。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以习近平新时代中国特色社会主义思想为指导，组织和指导各乡镇（区、办）、市直、学校、企业团委依据《中国共产主义青年团章程》和《共青团霸州市委改革方案》的要求，开展好共青团工作。把广大青年紧密团结凝聚在党的周围，准确把握经济发展新常态，牢固树立创新、协调、绿色、开放、共享发展理念，坚定走加快转型、绿色发展、跨越提升新路，团结带领全市广大团员青年为“争创经济强市、打造生态新城、建设美丽霸州”做贡献。构建廊坊市青年中心有形化的青少年综合服务平台，完善“青年中心”服务平台体系；构建综合交织的基层青年组织体系，扩大团组织覆盖面，提升基层团组织服务能力和水平；使更多的青少年志愿者参加各项活动，构建便捷高效的青年志愿服务平台；净化青少年成长环境，全面提高青少年道德、法制素质，有效预防和减少青少年违法犯罪。</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1、组织建设和宣传教育</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绩效目标：通过青年中心开展活动，使各级基层团组织和青年组织建设加强，活力明显提升。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绩效指标：青年中心开展活动4次，参加人数400人次；开展青年联席会议一次；开展团干部、少先队培训4次，服务人数400人次。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2、服务、引导青少年工作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绩效目标：通过青少年服务引导工作，不断加强青少年社会主义核心价值观教育；加强青年统战工作；围绕党政中心工作开展各项活动。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绩效指标：开展婚恋交友活动1次；开展招聘会1次；印制宣传页2000份。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3、维护青少年权益工作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绩效目标：通过预防青少年违法犯罪工作的开展，增强青少年学法、尊法、守法、用法意识，推动青少年事务社会工作有效开展。</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绩效指标：开展模拟法庭1次，开展12.4法律宣传活动；印制宣传单2000份。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团委事务管理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绩效目标：通过工作的开展，高质量完成全县青少年发展规划和方针政策的制定，圆满完成县委、县政府和省市团委交办的各项任务。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绩效指标：开展五四表彰大会，表彰先进个人160人，先进集体30个。</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青年志愿者服务管理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绩效目标：通过志愿者活动的开展，至志愿者服务常态化，在生态环境、大型活动、城市建设、社区服务、困难帮扶等方面开展志愿服务活动。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绩效指标：开展志愿服务活动8次，印发宣传册、宣传单页5000份，印发宣传用品5000份。</w:t>
      </w:r>
    </w:p>
    <w:p>
      <w:pPr>
        <w:ind w:firstLine="640" w:firstLineChars="200"/>
        <w:rPr>
          <w:rFonts w:hint="default" w:ascii="仿宋_GB2312" w:hAnsi="Times New Roman" w:eastAsia="仿宋_GB2312" w:cs="Times New Roman"/>
          <w:sz w:val="32"/>
          <w:szCs w:val="32"/>
          <w:lang w:val="en-US" w:eastAsia="zh-CN"/>
        </w:rPr>
      </w:pPr>
    </w:p>
    <w:p>
      <w:pPr>
        <w:ind w:firstLine="640" w:firstLineChars="200"/>
        <w:rPr>
          <w:rFonts w:hint="eastAsia"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1、完善制度建设。制定完善预算绩效管理制度、工作保障制度等，为全年预算绩效目标的实现奠定制度基础。</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2、加强支出管理。通过编细遍实预算、尽快启动项目，及时支付资金等措施，确保支出进度达标。</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3、加强绩效运行监控。按要求开展绩效运行监控，发现问题及时采取措施，确保绩效目标如期保质实现。</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4、做好绩效自评。按要求开展上年度部门预算绩效自评和重点评价工作，对评价中发现的问题及时整改，调整优化支出结构，提高财政资金使用效率。</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5、规范财务资金管理。完善财务管理制度，严格审批程序，加强固定资产登记、使用和报废处置管理，做到支出合理，物尽其用。</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加强内部监督。加强内部监督制度建设，对绩效运行情况、重大支出决策、资产处置及其他重要经济业务事项的决策大支出决策、资产处置及其他重要经济业务事项的决策和执行进行督导，对会计资料进行内部审计，并配合做好审计、财政监督等外部监督工作，确保财政资金安全有效。</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7、加强宣传培训等。加强人员培训，提高本部门职工的业务素质；加大宣传力度，强化预算绩效管理意识，促进预算绩效管理水平进一步提升。</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0"/>
    <w:p>
      <w:pPr>
        <w:ind w:firstLine="560" w:firstLineChars="200"/>
        <w:jc w:val="left"/>
        <w:outlineLvl w:val="1"/>
        <w:rPr>
          <w:rFonts w:hAnsi="宋体"/>
          <w:b/>
          <w:sz w:val="28"/>
        </w:rPr>
      </w:pPr>
      <w:r>
        <w:rPr>
          <w:rFonts w:hint="eastAsia" w:ascii="方正仿宋_GBK" w:eastAsia="方正仿宋_GBK"/>
          <w:b/>
          <w:sz w:val="28"/>
        </w:rPr>
        <w:t>1、共青团专项工作经费绩效目标表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1" w:name="_Toc30521345"/>
      <w:r>
        <w:rPr>
          <w:rFonts w:hint="eastAsia" w:ascii="方正仿宋_GBK" w:eastAsia="方正仿宋_GBK"/>
          <w:b/>
          <w:sz w:val="28"/>
        </w:rPr>
        <w:instrText xml:space="preserve">1、常委会经费绩效目标表</w:instrText>
      </w:r>
      <w:bookmarkEnd w:id="1"/>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1、通过项目的实施，构建综合交织的基层青年组织体系，扩大团组织覆盖面，提升基层团组织服务能力和水平。</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开展会议场次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团市委开展会议次数（次）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≥2次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举办培训场次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团市委举办培训次数（次）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≥4次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优秀团干部比例</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优秀团干部占全体团干部的比例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≥30%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五四大会完成时间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团市委开展五四会议完成时间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≤5月份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优秀青年人数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团市委全年表彰优秀青年人次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≥200人次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全市青年知晓率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全市广大青年对团市委五四精神宣传的知晓率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≥85%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青年满意度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全市广大青年对团委宣传五四精神的满意数量占受调查人数的百分比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bl>
    <w:p>
      <w:pPr>
        <w:ind w:firstLine="560" w:firstLineChars="200"/>
        <w:jc w:val="left"/>
        <w:outlineLvl w:val="1"/>
        <w:rPr>
          <w:rFonts w:hAnsi="宋体"/>
          <w:b/>
          <w:sz w:val="28"/>
        </w:rPr>
      </w:pPr>
      <w:r>
        <w:rPr>
          <w:rFonts w:ascii="方正仿宋_GBK" w:eastAsia="方正仿宋_GBK"/>
          <w:b/>
          <w:sz w:val="28"/>
        </w:rPr>
        <w:t>2</w:t>
      </w:r>
      <w:r>
        <w:rPr>
          <w:rFonts w:hint="eastAsia" w:ascii="方正仿宋_GBK" w:eastAsia="方正仿宋_GBK"/>
          <w:b/>
          <w:sz w:val="28"/>
        </w:rPr>
        <w:t>、青年志愿者活动经费绩效目标表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1、通过项目的实施，使更多的青少年志愿者参加各项活动，构建便捷高效的青年志愿服务平台。</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组织全市志愿服务活动场次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组织全市志愿服务活动（次）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≥8次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全市青年参加志愿服务活动人次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青年参加志愿服务活动（人次）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≥400人次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大型志愿服务活动数量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全市大型活动组织志愿服务次数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≥1次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志愿活动完成率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团市委组织志愿服务活动数量完成的数量占计划实施的数量比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年度优秀志愿者增长率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当年年度优秀志愿者数量比去年优秀志愿者数量增长百分比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lang w:val="en-US" w:eastAsia="zh-CN"/>
              </w:rPr>
            </w:pPr>
            <w:r>
              <w:rPr>
                <w:rFonts w:hint="eastAsia" w:ascii="方正书宋_GBK" w:eastAsia="方正书宋_GBK"/>
              </w:rPr>
              <w:t>群众对当年全市志愿者服务整体满意度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计划标准</w:t>
            </w:r>
          </w:p>
        </w:tc>
      </w:tr>
    </w:tbl>
    <w:p>
      <w:pPr>
        <w:numPr>
          <w:ilvl w:val="0"/>
          <w:numId w:val="1"/>
        </w:numPr>
        <w:ind w:firstLine="560" w:firstLineChars="200"/>
        <w:rPr>
          <w:rFonts w:ascii="仿宋_GB2312" w:hAnsi="黑体" w:eastAsia="仿宋_GB2312" w:cs="Times New Roman"/>
          <w:color w:val="000000" w:themeColor="text1"/>
          <w:sz w:val="32"/>
          <w:szCs w:val="32"/>
        </w:rPr>
      </w:pPr>
      <w:r>
        <w:rPr>
          <w:rFonts w:hint="eastAsia" w:ascii="方正仿宋_GBK" w:eastAsia="方正仿宋_GBK"/>
          <w:b/>
          <w:sz w:val="28"/>
        </w:rPr>
        <w:t>青年中心建设运行经费绩效目标表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1、通过项目的实施，构建廊坊市青年中心有形化的青少年综合服务平台，完善“青年中心”服务平台体系</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青年中心举办活动场次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团市委在青年中心举办青少年活动次数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≥4次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青少年参加青年中心活动数量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全市青少年参加青年中心活动人次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≥400人次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青少年去青年中心活动参与率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去往青年中心参加活动的青少年数量占计划青少年活动的数量的百分比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≥85%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活动完成时间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团市委在青年中心开展活动完成时间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≤10月份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青少年去青年中心活动增加率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全市青少年去青年中心活动的增长率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≥10%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参与活动青年满意度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在青年中心参加活动的满意和较满意的青少年占受调查人数比例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计划标准</w:t>
            </w:r>
          </w:p>
        </w:tc>
      </w:tr>
    </w:tbl>
    <w:p>
      <w:pPr>
        <w:ind w:firstLine="640" w:firstLineChars="200"/>
        <w:jc w:val="left"/>
        <w:outlineLvl w:val="1"/>
        <w:rPr>
          <w:rFonts w:hint="eastAsia" w:ascii="仿宋_GB2312" w:hAnsi="黑体" w:eastAsia="仿宋_GB2312" w:cs="Times New Roman"/>
          <w:color w:val="000000" w:themeColor="text1"/>
          <w:sz w:val="32"/>
          <w:szCs w:val="32"/>
          <w:lang w:val="en-US" w:eastAsia="zh-CN"/>
        </w:rPr>
      </w:pPr>
      <w:r>
        <w:rPr>
          <w:rFonts w:hint="eastAsia" w:ascii="仿宋_GB2312" w:hAnsi="黑体" w:eastAsia="仿宋_GB2312" w:cs="Times New Roman"/>
          <w:color w:val="000000" w:themeColor="text1"/>
          <w:sz w:val="32"/>
          <w:szCs w:val="32"/>
          <w:lang w:val="en-US" w:eastAsia="zh-CN"/>
        </w:rPr>
        <w:t>4、</w:t>
      </w:r>
      <w:r>
        <w:rPr>
          <w:rFonts w:hint="eastAsia" w:ascii="方正仿宋_GBK" w:eastAsia="方正仿宋_GBK"/>
          <w:b/>
          <w:sz w:val="28"/>
        </w:rPr>
        <w:t>预防青少年违法犯罪专项经费绩效目标表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0520903"/>
      <w:r>
        <w:rPr>
          <w:rFonts w:hint="eastAsia" w:ascii="方正仿宋_GBK" w:eastAsia="方正仿宋_GBK"/>
          <w:b/>
          <w:sz w:val="28"/>
        </w:rPr>
        <w:instrText xml:space="preserve">4、预防青少年违法犯罪专项经费绩效目标表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3" w:hRule="atLeast"/>
          <w:jc w:val="center"/>
        </w:trPr>
        <w:tc>
          <w:tcPr>
            <w:tcW w:w="45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方正书宋_GBK" w:eastAsia="方正书宋_GBK"/>
              </w:rPr>
            </w:pPr>
            <w:r>
              <w:rPr>
                <w:rFonts w:hint="eastAsia" w:ascii="方正书宋_GBK" w:eastAsia="方正书宋_GBK"/>
              </w:rPr>
              <w:t>1、通过项目的开展，净化青少年成长环境，全面提高青少年道德、法制素质，有效预防和减少青少年违法犯罪。</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5"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法律宣传次数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团市委开展预防青少年违法犯罪方面法律宣传次数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≥3次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宣传品数量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团市委开展法制进校园印刷宣传彩页份数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≥20000张</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“青少年维权岗”创建数量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通过“青少年维权岗”创建活动，成功创建单位数量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≥8个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法律宣传活动完成时间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团市委开展法律进校园活动完成时间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≤10月份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青少年维权岗创建完成时间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团市委开展青少年维权岗创建活动完成时间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青少年违法犯罪率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全市青少年违法犯罪数量占全市青少年数量比例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≤3%</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青少年和社会对团市委预防青少年违法犯罪工做的满意程度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计划标准</w:t>
            </w:r>
          </w:p>
        </w:tc>
      </w:tr>
    </w:tbl>
    <w:p>
      <w:pPr>
        <w:ind w:firstLine="640" w:firstLineChars="200"/>
        <w:rPr>
          <w:rFonts w:ascii="仿宋_GB2312" w:hAnsi="黑体" w:eastAsia="仿宋_GB2312" w:cs="Times New Roman"/>
          <w:color w:val="000000" w:themeColor="text1"/>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auto"/>
          <w:sz w:val="32"/>
          <w:szCs w:val="32"/>
        </w:rPr>
      </w:pPr>
      <w:bookmarkStart w:id="3"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20</w:t>
      </w:r>
      <w:r>
        <w:rPr>
          <w:rFonts w:hint="eastAsia" w:ascii="仿宋_GB2312" w:hAnsi="Times New Roman" w:eastAsia="仿宋_GB2312" w:cs="Times New Roman"/>
          <w:color w:val="auto"/>
          <w:sz w:val="32"/>
          <w:szCs w:val="32"/>
        </w:rPr>
        <w:t>年，我部门安排政府采购预算</w:t>
      </w:r>
      <w:r>
        <w:rPr>
          <w:rFonts w:hint="eastAsia" w:ascii="仿宋_GB2312" w:hAnsi="Times New Roman" w:eastAsia="仿宋_GB2312" w:cs="Times New Roman"/>
          <w:color w:val="auto"/>
          <w:sz w:val="32"/>
          <w:szCs w:val="32"/>
          <w:lang w:val="en-US" w:eastAsia="zh-CN"/>
        </w:rPr>
        <w:t>2.39</w:t>
      </w:r>
      <w:r>
        <w:rPr>
          <w:rFonts w:hint="eastAsia" w:ascii="仿宋_GB2312" w:hAnsi="Times New Roman" w:eastAsia="仿宋_GB2312" w:cs="Times New Roman"/>
          <w:color w:val="auto"/>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3"/>
    </w:p>
    <w:tbl>
      <w:tblPr>
        <w:tblStyle w:val="7"/>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87"/>
        <w:gridCol w:w="1068"/>
        <w:gridCol w:w="873"/>
        <w:gridCol w:w="1397"/>
        <w:gridCol w:w="873"/>
        <w:gridCol w:w="873"/>
        <w:gridCol w:w="924"/>
        <w:gridCol w:w="898"/>
        <w:gridCol w:w="898"/>
        <w:gridCol w:w="898"/>
        <w:gridCol w:w="819"/>
        <w:gridCol w:w="881"/>
        <w:gridCol w:w="884"/>
        <w:gridCol w:w="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963"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eastAsia="方正小标宋_GBK"/>
                <w:sz w:val="24"/>
              </w:rPr>
              <w:t>132共青团霸州市委员会</w:t>
            </w:r>
          </w:p>
        </w:tc>
        <w:tc>
          <w:tcPr>
            <w:tcW w:w="2036"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20" w:type="pct"/>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308"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49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308"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308"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32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2036" w:type="pct"/>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377"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308"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9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8"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8"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2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7"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1546" w:type="pct"/>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17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77"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8"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9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8"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8"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2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7"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7"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317"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289"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311"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312"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17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3"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377"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08" w:type="pct"/>
            <w:shd w:val="clear" w:color="auto" w:fill="auto"/>
            <w:vAlign w:val="center"/>
          </w:tcPr>
          <w:p>
            <w:pPr>
              <w:spacing w:line="300" w:lineRule="exact"/>
              <w:jc w:val="left"/>
              <w:rPr>
                <w:rFonts w:ascii="方正书宋_GBK" w:hAnsi="Times New Roman" w:eastAsia="方正书宋_GBK" w:cs="Times New Roman"/>
                <w:b/>
                <w:szCs w:val="24"/>
              </w:rPr>
            </w:pPr>
          </w:p>
        </w:tc>
        <w:tc>
          <w:tcPr>
            <w:tcW w:w="493" w:type="pct"/>
            <w:shd w:val="clear" w:color="auto" w:fill="auto"/>
            <w:vAlign w:val="center"/>
          </w:tcPr>
          <w:p>
            <w:pPr>
              <w:spacing w:line="300" w:lineRule="exact"/>
              <w:jc w:val="left"/>
              <w:rPr>
                <w:rFonts w:ascii="方正书宋_GBK" w:hAnsi="Times New Roman" w:eastAsia="方正书宋_GBK" w:cs="Times New Roman"/>
                <w:b/>
                <w:szCs w:val="24"/>
              </w:rPr>
            </w:pPr>
          </w:p>
        </w:tc>
        <w:tc>
          <w:tcPr>
            <w:tcW w:w="308" w:type="pct"/>
            <w:shd w:val="clear" w:color="auto" w:fill="auto"/>
            <w:vAlign w:val="center"/>
          </w:tcPr>
          <w:p>
            <w:pPr>
              <w:spacing w:line="300" w:lineRule="exact"/>
              <w:jc w:val="left"/>
              <w:rPr>
                <w:rFonts w:ascii="方正书宋_GBK" w:hAnsi="Times New Roman" w:eastAsia="方正书宋_GBK" w:cs="Times New Roman"/>
                <w:b/>
                <w:szCs w:val="24"/>
              </w:rPr>
            </w:pPr>
          </w:p>
        </w:tc>
        <w:tc>
          <w:tcPr>
            <w:tcW w:w="308"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23"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7" w:type="pct"/>
            <w:shd w:val="clear" w:color="auto" w:fill="auto"/>
            <w:vAlign w:val="center"/>
          </w:tcPr>
          <w:p>
            <w:pPr>
              <w:spacing w:line="300" w:lineRule="exact"/>
              <w:jc w:val="right"/>
              <w:rPr>
                <w:rFonts w:ascii="方正书宋_GBK" w:hAnsi="Times New Roman" w:eastAsia="方正书宋_GBK" w:cs="Times New Roman"/>
                <w:b/>
                <w:kern w:val="2"/>
                <w:sz w:val="21"/>
                <w:szCs w:val="24"/>
                <w:lang w:val="en-US" w:eastAsia="zh-CN" w:bidi="ar-SA"/>
              </w:rPr>
            </w:pPr>
            <w:r>
              <w:rPr>
                <w:rFonts w:ascii="方正书宋_GBK" w:eastAsia="方正书宋_GBK"/>
                <w:b/>
              </w:rPr>
              <w:t>2.39</w:t>
            </w:r>
          </w:p>
        </w:tc>
        <w:tc>
          <w:tcPr>
            <w:tcW w:w="317" w:type="pct"/>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2.39</w:t>
            </w:r>
          </w:p>
        </w:tc>
        <w:tc>
          <w:tcPr>
            <w:tcW w:w="317" w:type="pct"/>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2.39</w:t>
            </w:r>
          </w:p>
        </w:tc>
        <w:tc>
          <w:tcPr>
            <w:tcW w:w="289"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1"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2" w:type="pct"/>
            <w:shd w:val="clear" w:color="auto" w:fill="auto"/>
            <w:vAlign w:val="center"/>
          </w:tcPr>
          <w:p>
            <w:pPr>
              <w:spacing w:line="300" w:lineRule="exact"/>
              <w:jc w:val="right"/>
              <w:rPr>
                <w:rFonts w:ascii="方正书宋_GBK" w:hAnsi="Times New Roman" w:eastAsia="方正书宋_GBK" w:cs="Times New Roman"/>
                <w:b/>
                <w:szCs w:val="24"/>
              </w:rPr>
            </w:pPr>
          </w:p>
        </w:tc>
        <w:tc>
          <w:tcPr>
            <w:tcW w:w="173" w:type="pct"/>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3" w:type="pct"/>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预防青少年违法犯罪专项经费</w:t>
            </w:r>
          </w:p>
        </w:tc>
        <w:tc>
          <w:tcPr>
            <w:tcW w:w="377"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2.00</w:t>
            </w:r>
          </w:p>
        </w:tc>
        <w:tc>
          <w:tcPr>
            <w:tcW w:w="308" w:type="pct"/>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演出服装</w:t>
            </w:r>
          </w:p>
        </w:tc>
        <w:tc>
          <w:tcPr>
            <w:tcW w:w="493" w:type="pct"/>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A033502</w:t>
            </w:r>
          </w:p>
        </w:tc>
        <w:tc>
          <w:tcPr>
            <w:tcW w:w="308" w:type="pct"/>
            <w:shd w:val="clear" w:color="auto" w:fill="auto"/>
            <w:vAlign w:val="center"/>
          </w:tcPr>
          <w:p>
            <w:pPr>
              <w:spacing w:line="300"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套</w:t>
            </w:r>
          </w:p>
        </w:tc>
        <w:tc>
          <w:tcPr>
            <w:tcW w:w="308"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3.00</w:t>
            </w:r>
          </w:p>
        </w:tc>
        <w:tc>
          <w:tcPr>
            <w:tcW w:w="323"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0.03</w:t>
            </w:r>
          </w:p>
        </w:tc>
        <w:tc>
          <w:tcPr>
            <w:tcW w:w="317" w:type="pct"/>
            <w:shd w:val="clear" w:color="auto" w:fill="auto"/>
            <w:vAlign w:val="center"/>
          </w:tcPr>
          <w:p>
            <w:pPr>
              <w:spacing w:line="300" w:lineRule="exact"/>
              <w:jc w:val="right"/>
              <w:rPr>
                <w:rFonts w:ascii="方正书宋_GBK" w:hAnsi="Times New Roman" w:eastAsia="方正书宋_GBK" w:cs="Times New Roman"/>
                <w:b/>
                <w:kern w:val="2"/>
                <w:sz w:val="21"/>
                <w:szCs w:val="24"/>
                <w:lang w:val="en-US" w:eastAsia="zh-CN" w:bidi="ar-SA"/>
              </w:rPr>
            </w:pPr>
            <w:r>
              <w:rPr>
                <w:rFonts w:ascii="方正书宋_GBK" w:eastAsia="方正书宋_GBK"/>
              </w:rPr>
              <w:t>0.09</w:t>
            </w:r>
          </w:p>
        </w:tc>
        <w:tc>
          <w:tcPr>
            <w:tcW w:w="317" w:type="pct"/>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0.09</w:t>
            </w:r>
          </w:p>
        </w:tc>
        <w:tc>
          <w:tcPr>
            <w:tcW w:w="317" w:type="pct"/>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0.09</w:t>
            </w:r>
          </w:p>
        </w:tc>
        <w:tc>
          <w:tcPr>
            <w:tcW w:w="289"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1"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2" w:type="pct"/>
            <w:shd w:val="clear" w:color="auto" w:fill="auto"/>
            <w:vAlign w:val="center"/>
          </w:tcPr>
          <w:p>
            <w:pPr>
              <w:spacing w:line="300" w:lineRule="exact"/>
              <w:jc w:val="right"/>
              <w:rPr>
                <w:rFonts w:ascii="方正书宋_GBK" w:hAnsi="Times New Roman" w:eastAsia="方正书宋_GBK" w:cs="Times New Roman"/>
                <w:b/>
                <w:szCs w:val="24"/>
              </w:rPr>
            </w:pPr>
          </w:p>
        </w:tc>
        <w:tc>
          <w:tcPr>
            <w:tcW w:w="173" w:type="pct"/>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3" w:type="pct"/>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青年中心建设运行经费</w:t>
            </w:r>
          </w:p>
        </w:tc>
        <w:tc>
          <w:tcPr>
            <w:tcW w:w="377"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3.00</w:t>
            </w:r>
          </w:p>
        </w:tc>
        <w:tc>
          <w:tcPr>
            <w:tcW w:w="308" w:type="pct"/>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复印机</w:t>
            </w:r>
          </w:p>
        </w:tc>
        <w:tc>
          <w:tcPr>
            <w:tcW w:w="493" w:type="pct"/>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A020201</w:t>
            </w:r>
          </w:p>
        </w:tc>
        <w:tc>
          <w:tcPr>
            <w:tcW w:w="308" w:type="pct"/>
            <w:shd w:val="clear" w:color="auto" w:fill="auto"/>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台</w:t>
            </w:r>
          </w:p>
        </w:tc>
        <w:tc>
          <w:tcPr>
            <w:tcW w:w="308"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323"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0.30</w:t>
            </w:r>
          </w:p>
        </w:tc>
        <w:tc>
          <w:tcPr>
            <w:tcW w:w="317" w:type="pct"/>
            <w:shd w:val="clear" w:color="auto" w:fill="auto"/>
            <w:vAlign w:val="center"/>
          </w:tcPr>
          <w:p>
            <w:pPr>
              <w:spacing w:line="300" w:lineRule="exact"/>
              <w:jc w:val="right"/>
              <w:rPr>
                <w:rFonts w:ascii="方正书宋_GBK" w:hAnsi="Times New Roman" w:eastAsia="方正书宋_GBK" w:cs="Times New Roman"/>
                <w:b/>
                <w:kern w:val="2"/>
                <w:sz w:val="21"/>
                <w:szCs w:val="24"/>
                <w:lang w:val="en-US" w:eastAsia="zh-CN" w:bidi="ar-SA"/>
              </w:rPr>
            </w:pPr>
            <w:r>
              <w:rPr>
                <w:rFonts w:ascii="方正书宋_GBK" w:eastAsia="方正书宋_GBK"/>
              </w:rPr>
              <w:t>0.30</w:t>
            </w:r>
          </w:p>
        </w:tc>
        <w:tc>
          <w:tcPr>
            <w:tcW w:w="317" w:type="pct"/>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0.30</w:t>
            </w:r>
          </w:p>
        </w:tc>
        <w:tc>
          <w:tcPr>
            <w:tcW w:w="317" w:type="pct"/>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0.30</w:t>
            </w:r>
          </w:p>
        </w:tc>
        <w:tc>
          <w:tcPr>
            <w:tcW w:w="289"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1"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2" w:type="pct"/>
            <w:shd w:val="clear" w:color="auto" w:fill="auto"/>
            <w:vAlign w:val="center"/>
          </w:tcPr>
          <w:p>
            <w:pPr>
              <w:spacing w:line="300" w:lineRule="exact"/>
              <w:jc w:val="right"/>
              <w:rPr>
                <w:rFonts w:ascii="方正书宋_GBK" w:hAnsi="Times New Roman" w:eastAsia="方正书宋_GBK" w:cs="Times New Roman"/>
                <w:b/>
                <w:szCs w:val="24"/>
              </w:rPr>
            </w:pPr>
          </w:p>
        </w:tc>
        <w:tc>
          <w:tcPr>
            <w:tcW w:w="173" w:type="pct"/>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3" w:type="pct"/>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青年志愿者活动经费</w:t>
            </w:r>
          </w:p>
        </w:tc>
        <w:tc>
          <w:tcPr>
            <w:tcW w:w="377"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7.00</w:t>
            </w:r>
          </w:p>
        </w:tc>
        <w:tc>
          <w:tcPr>
            <w:tcW w:w="308" w:type="pct"/>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普通服装</w:t>
            </w:r>
          </w:p>
        </w:tc>
        <w:tc>
          <w:tcPr>
            <w:tcW w:w="493" w:type="pct"/>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A07030103</w:t>
            </w:r>
          </w:p>
        </w:tc>
        <w:tc>
          <w:tcPr>
            <w:tcW w:w="308" w:type="pct"/>
            <w:shd w:val="clear" w:color="auto" w:fill="auto"/>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套</w:t>
            </w:r>
          </w:p>
        </w:tc>
        <w:tc>
          <w:tcPr>
            <w:tcW w:w="308"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50.00</w:t>
            </w:r>
          </w:p>
        </w:tc>
        <w:tc>
          <w:tcPr>
            <w:tcW w:w="323"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0.04</w:t>
            </w:r>
          </w:p>
        </w:tc>
        <w:tc>
          <w:tcPr>
            <w:tcW w:w="317" w:type="pct"/>
            <w:shd w:val="clear" w:color="auto" w:fill="auto"/>
            <w:vAlign w:val="center"/>
          </w:tcPr>
          <w:p>
            <w:pPr>
              <w:spacing w:line="300" w:lineRule="exact"/>
              <w:jc w:val="right"/>
              <w:rPr>
                <w:rFonts w:ascii="方正书宋_GBK" w:hAnsi="Times New Roman" w:eastAsia="方正书宋_GBK" w:cs="Times New Roman"/>
                <w:b/>
                <w:kern w:val="2"/>
                <w:sz w:val="21"/>
                <w:szCs w:val="24"/>
                <w:lang w:val="en-US" w:eastAsia="zh-CN" w:bidi="ar-SA"/>
              </w:rPr>
            </w:pPr>
            <w:r>
              <w:rPr>
                <w:rFonts w:ascii="方正书宋_GBK" w:eastAsia="方正书宋_GBK"/>
              </w:rPr>
              <w:t>2.00</w:t>
            </w:r>
          </w:p>
        </w:tc>
        <w:tc>
          <w:tcPr>
            <w:tcW w:w="317" w:type="pct"/>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2.00</w:t>
            </w:r>
          </w:p>
        </w:tc>
        <w:tc>
          <w:tcPr>
            <w:tcW w:w="317" w:type="pct"/>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2.00</w:t>
            </w:r>
          </w:p>
        </w:tc>
        <w:tc>
          <w:tcPr>
            <w:tcW w:w="289"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1"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2" w:type="pct"/>
            <w:shd w:val="clear" w:color="auto" w:fill="auto"/>
            <w:vAlign w:val="center"/>
          </w:tcPr>
          <w:p>
            <w:pPr>
              <w:spacing w:line="300" w:lineRule="exact"/>
              <w:jc w:val="right"/>
              <w:rPr>
                <w:rFonts w:ascii="方正书宋_GBK" w:hAnsi="Times New Roman" w:eastAsia="方正书宋_GBK" w:cs="Times New Roman"/>
                <w:b/>
                <w:szCs w:val="24"/>
              </w:rPr>
            </w:pPr>
          </w:p>
        </w:tc>
        <w:tc>
          <w:tcPr>
            <w:tcW w:w="173" w:type="pct"/>
            <w:shd w:val="clear" w:color="auto" w:fill="auto"/>
            <w:vAlign w:val="center"/>
          </w:tcPr>
          <w:p>
            <w:pPr>
              <w:spacing w:line="300" w:lineRule="exact"/>
              <w:jc w:val="right"/>
              <w:rPr>
                <w:rFonts w:ascii="方正书宋_GBK" w:hAnsi="Times New Roman" w:eastAsia="方正书宋_GBK" w:cs="Times New Roman"/>
                <w:b/>
                <w:szCs w:val="24"/>
              </w:rPr>
            </w:pPr>
          </w:p>
        </w:tc>
      </w:tr>
    </w:tbl>
    <w:p>
      <w:pPr>
        <w:numPr>
          <w:ilvl w:val="0"/>
          <w:numId w:val="0"/>
        </w:numPr>
        <w:ind w:firstLine="640" w:firstLineChars="200"/>
        <w:rPr>
          <w:rFonts w:hint="eastAsia" w:ascii="黑体" w:hAnsi="黑体" w:eastAsia="黑体" w:cs="Times New Roman"/>
          <w:sz w:val="32"/>
          <w:szCs w:val="32"/>
          <w:lang w:eastAsia="zh-CN"/>
        </w:rPr>
      </w:pPr>
    </w:p>
    <w:p>
      <w:pPr>
        <w:numPr>
          <w:ilvl w:val="0"/>
          <w:numId w:val="0"/>
        </w:numPr>
        <w:ind w:firstLine="640" w:firstLineChars="20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七、</w:t>
      </w:r>
      <w:r>
        <w:rPr>
          <w:rFonts w:hint="eastAsia" w:ascii="黑体" w:hAnsi="黑体" w:eastAsia="黑体" w:cs="Times New Roman"/>
          <w:sz w:val="32"/>
          <w:szCs w:val="32"/>
        </w:rPr>
        <w:t>国有资产信息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中国共产主义青年团霸州市委员会员会（含所属单位）上年末固定资产金额为</w:t>
      </w:r>
      <w:r>
        <w:rPr>
          <w:rFonts w:hint="eastAsia" w:ascii="仿宋_GB2312" w:hAnsi="黑体" w:eastAsia="仿宋_GB2312" w:cs="Times New Roman"/>
          <w:sz w:val="32"/>
          <w:szCs w:val="32"/>
          <w:lang w:val="en-US" w:eastAsia="zh-CN"/>
        </w:rPr>
        <w:t>73.85</w:t>
      </w:r>
      <w:r>
        <w:rPr>
          <w:rFonts w:hint="eastAsia" w:ascii="仿宋_GB2312" w:hAnsi="黑体" w:eastAsia="仿宋_GB2312" w:cs="Times New Roman"/>
          <w:sz w:val="32"/>
          <w:szCs w:val="32"/>
        </w:rPr>
        <w:t>万元（详见下表）。</w:t>
      </w:r>
      <w:r>
        <w:rPr>
          <w:rFonts w:hint="eastAsia" w:ascii="仿宋" w:hAnsi="仿宋" w:eastAsia="仿宋" w:cs="仿宋"/>
          <w:sz w:val="32"/>
          <w:szCs w:val="32"/>
        </w:rPr>
        <w:t>本年度各单位（处室）拟购置固定资产总额为</w:t>
      </w:r>
      <w:r>
        <w:rPr>
          <w:rFonts w:hint="eastAsia" w:ascii="仿宋" w:hAnsi="仿宋" w:eastAsia="仿宋" w:cs="仿宋"/>
          <w:sz w:val="32"/>
          <w:szCs w:val="32"/>
          <w:lang w:val="en-US" w:eastAsia="zh-CN"/>
        </w:rPr>
        <w:t>0.3</w:t>
      </w:r>
      <w:r>
        <w:rPr>
          <w:rFonts w:hint="eastAsia" w:ascii="仿宋" w:hAnsi="仿宋" w:eastAsia="仿宋" w:cs="仿宋"/>
          <w:sz w:val="32"/>
          <w:szCs w:val="32"/>
        </w:rPr>
        <w:t>万元，主要为打印设备，已列入政府采购预算，详见政府采购预算表。</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中国共产主义青年团霸州市委员会员会</w:t>
            </w:r>
            <w:r>
              <w:rPr>
                <w:rFonts w:hint="eastAsia" w:ascii="宋体" w:hAnsi="宋体" w:eastAsia="宋体" w:cs="宋体"/>
                <w:b/>
                <w:bCs/>
                <w:kern w:val="0"/>
                <w:sz w:val="32"/>
                <w:szCs w:val="32"/>
                <w:lang w:eastAsia="zh-CN"/>
              </w:rPr>
              <w:t>部门</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仿宋" w:hAnsi="仿宋" w:eastAsia="仿宋" w:cs="仿宋"/>
                <w:kern w:val="0"/>
                <w:sz w:val="22"/>
              </w:rPr>
              <w:t>132中国共产主义青年团霸州市委员会</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截止时间：201</w:t>
            </w:r>
            <w:r>
              <w:rPr>
                <w:rFonts w:ascii="宋体" w:hAnsi="宋体" w:eastAsia="宋体" w:cs="宋体"/>
                <w:kern w:val="0"/>
                <w:sz w:val="22"/>
              </w:rPr>
              <w:t>9</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仿宋" w:hAnsi="仿宋" w:eastAsia="仿宋" w:cs="仿宋"/>
                <w:kern w:val="0"/>
                <w:sz w:val="32"/>
                <w:szCs w:val="32"/>
                <w:lang w:val="en-US" w:eastAsia="zh-CN"/>
              </w:rPr>
              <w:t>73.85</w:t>
            </w:r>
            <w:bookmarkStart w:id="4" w:name="_GoBack"/>
            <w:bookmarkEnd w:id="4"/>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rPr>
              <w:t>174</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rPr>
              <w:t>43.50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rPr>
              <w:t>174</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rPr>
              <w:t>43.50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rPr>
              <w:t>21.98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8.37</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F6E0FB"/>
    <w:multiLevelType w:val="singleLevel"/>
    <w:tmpl w:val="2DF6E0F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CE47EA"/>
    <w:rsid w:val="03CE7E68"/>
    <w:rsid w:val="0C21402C"/>
    <w:rsid w:val="15BD64C2"/>
    <w:rsid w:val="24ED544A"/>
    <w:rsid w:val="31860869"/>
    <w:rsid w:val="35376E37"/>
    <w:rsid w:val="389E2CB3"/>
    <w:rsid w:val="3956528E"/>
    <w:rsid w:val="401C1BFD"/>
    <w:rsid w:val="50CF79FE"/>
    <w:rsid w:val="701E19D6"/>
    <w:rsid w:val="723E7102"/>
    <w:rsid w:val="73000A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3</TotalTime>
  <ScaleCrop>false</ScaleCrop>
  <LinksUpToDate>false</LinksUpToDate>
  <CharactersWithSpaces>3329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心旅途 *</cp:lastModifiedBy>
  <cp:lastPrinted>2018-02-28T01:51:00Z</cp:lastPrinted>
  <dcterms:modified xsi:type="dcterms:W3CDTF">2021-04-30T02:09:21Z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875C5E7555BB4AE2B0D14073A0FBF2DB</vt:lpwstr>
  </property>
</Properties>
</file>